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4FF" w:rsidRDefault="004827FB" w:rsidP="004827FB">
      <w:pPr>
        <w:pStyle w:val="aa"/>
        <w:jc w:val="center"/>
      </w:pPr>
      <w:r>
        <w:t>STROBE Statement - Checklist of items that should be included in reports of case-control studies</w:t>
      </w:r>
      <w:bookmarkStart w:id="0" w:name="_GoBack"/>
      <w:bookmarkEnd w:id="0"/>
    </w:p>
    <w:tbl>
      <w:tblPr>
        <w:tblStyle w:val="af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900"/>
        <w:gridCol w:w="6500"/>
      </w:tblGrid>
      <w:tr w:rsidR="000F14FF">
        <w:trPr>
          <w:tblHeader/>
          <w:jc w:val="center"/>
        </w:trPr>
        <w:tc>
          <w:tcPr>
            <w:tcW w:w="2000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S</w:t>
            </w:r>
            <w:r>
              <w:rPr>
                <w:b/>
              </w:rPr>
              <w:t>ection / Item</w:t>
            </w:r>
          </w:p>
        </w:tc>
        <w:tc>
          <w:tcPr>
            <w:tcW w:w="900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Item No.</w:t>
            </w:r>
          </w:p>
        </w:tc>
        <w:tc>
          <w:tcPr>
            <w:tcW w:w="6500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Recommendation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Title and abstract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(a) Indicate the study’s design with a commonly used term in the title or the abstract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1 - Title includes “An</w:t>
            </w:r>
            <w:r>
              <w:rPr>
                <w:sz w:val="16"/>
              </w:rPr>
              <w:t xml:space="preserve"> Observational Case-Control Study”; abstract background also describes the work as a case-control study.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Title and abstract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(b) Provide in the abstract an informative and balanced summary of what was done and what was found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p. 1 - </w:t>
            </w:r>
            <w:r>
              <w:rPr>
                <w:sz w:val="16"/>
              </w:rPr>
              <w:t>Abstract summarizes background, methods, sample sizes (94 PCOS/81 controls; serum subset 58/32), assays, key results (EGF/AREG/EGFR changes), and conclusions.</w:t>
            </w:r>
          </w:p>
        </w:tc>
      </w:tr>
      <w:tr w:rsidR="000F14FF">
        <w:trPr>
          <w:jc w:val="center"/>
        </w:trPr>
        <w:tc>
          <w:tcPr>
            <w:tcW w:w="20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Introduction</w:t>
            </w:r>
          </w:p>
        </w:tc>
        <w:tc>
          <w:tcPr>
            <w:tcW w:w="9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Introduction</w:t>
            </w:r>
          </w:p>
        </w:tc>
        <w:tc>
          <w:tcPr>
            <w:tcW w:w="65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Introduction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Background/rationale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Explain the scientific background</w:t>
            </w:r>
            <w:r>
              <w:rPr>
                <w:sz w:val="16"/>
              </w:rPr>
              <w:t xml:space="preserve"> and rationale for the investigation being reported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1-2 - Introduction explains PCOS, the EGF family/AREG network, inconsistent prior findings, and the rationale for assessing PCOS subtypes and IVF outcomes.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Objectives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State specific</w:t>
            </w:r>
            <w:r>
              <w:rPr>
                <w:sz w:val="16"/>
              </w:rPr>
              <w:t xml:space="preserve"> objectives, including any prespecified hypotheses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1-2 - Objective/hypothesis stated: EGF family members may be aberrantly expressed in different PCOS subtypes and potentially correlated with IVF outcomes.</w:t>
            </w:r>
          </w:p>
        </w:tc>
      </w:tr>
      <w:tr w:rsidR="000F14FF">
        <w:trPr>
          <w:jc w:val="center"/>
        </w:trPr>
        <w:tc>
          <w:tcPr>
            <w:tcW w:w="20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Methods</w:t>
            </w:r>
          </w:p>
        </w:tc>
        <w:tc>
          <w:tcPr>
            <w:tcW w:w="9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Methods</w:t>
            </w:r>
          </w:p>
        </w:tc>
        <w:tc>
          <w:tcPr>
            <w:tcW w:w="65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Methods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Study design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Present key elements of study design early in the paper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1-2 - Abstract and Methods identify a case-control study; Methods describe PCOS/control groups, subtype classification, IVF/ICSI-ET process, sample collection, assay</w:t>
            </w:r>
            <w:r>
              <w:rPr>
                <w:sz w:val="16"/>
              </w:rPr>
              <w:t>s, and statistical methods.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Setting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Describe the setting, locations, and relevant dates, including periods of recruitment, exposure, follow-up, and data collection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p. 2 - Study conducted at Peking University Third Hospital; participants </w:t>
            </w:r>
            <w:r>
              <w:rPr>
                <w:sz w:val="16"/>
              </w:rPr>
              <w:t>underwent first IVF/ICSI-ET from June 2021 to October 2023; sample collection timing is described.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Participants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6(a)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 xml:space="preserve">Give the eligibility criteria, and the sources and methods of case ascertainment and control selection. Give the rationale for the choice </w:t>
            </w:r>
            <w:r>
              <w:rPr>
                <w:sz w:val="16"/>
              </w:rPr>
              <w:t>of cases and controls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2 - PCOS diagnosis followed Rotterdam criteria; 94 PCOS participants were classified into four subtypes. Controls were 81 age-matched women with tubal or male-factor infertility, regular cycles, and no hyperandrogen</w:t>
            </w:r>
            <w:r>
              <w:rPr>
                <w:sz w:val="16"/>
              </w:rPr>
              <w:t>ism or polycystic ovaries. Hormonal therapy within 3 months was excluded.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Participants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6(b)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For matched studies, give matching criteria and the number of controls per case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p. 2 - Controls are described as age-matched (81 controls vs 94 </w:t>
            </w:r>
            <w:r>
              <w:rPr>
                <w:sz w:val="16"/>
              </w:rPr>
              <w:t>PCOS cases). No individual matching ratio or additional matching criteria are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Variables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Clearly define all outcomes, exposures, predictors, potential confounders, and effect modifiers. Give diagnostic criteria, if applicable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2-3 - PCOS diagnostic criteria and phenotypes are defined. IVF outcomes include fertilization rate, 2PN rate, positive pregnancy, clinical pregnancy, and live birth trend. Main variables include serum/follicular-fluid EGF and AREG and granulosa-cell EG</w:t>
            </w:r>
            <w:r>
              <w:rPr>
                <w:sz w:val="16"/>
              </w:rPr>
              <w:t>FR expression.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Data sources/measurement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8*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For each variable of interest, give sources of data and details of methods of assessment (measurement). Describe comparability of assessment methods if there is more than one group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2-3 - Folli</w:t>
            </w:r>
            <w:r>
              <w:rPr>
                <w:sz w:val="16"/>
              </w:rPr>
              <w:t>cular fluid, granulosa cells, and serum collection are described; EGF/AREG measured by ELISA; hormones by chemiluminescence immunoassay; EGFR mRNA by real-time PCR using specified primers and GAPDH normalization.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Bias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Describe any efforts to address pot</w:t>
            </w:r>
            <w:r>
              <w:rPr>
                <w:sz w:val="16"/>
              </w:rPr>
              <w:t>ential sources of bias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2, 8 - Reported efforts include age-matched controls, exclusion of recent hormonal therapy, use of the same GnRH agonist long protocol, same hCG dose, and uniform follicular-fluid timing (34-36 h after hCG). Limit</w:t>
            </w:r>
            <w:r>
              <w:rPr>
                <w:sz w:val="16"/>
              </w:rPr>
              <w:t>ations acknowledge small sample size and potential bias.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Study size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Explain how the study size was arrived at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Not reported. pp. 1-2 state the study sizes and subsets, but no sample-size calculation or rationale is provided.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Quantitative variables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Explain how quantitative variables were handled in the analyses. If applicable, describe which groupings were chosen and why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2-3 - PCOS subtype groupings follow Rotterdam phenotype definitions; quantitative val</w:t>
            </w:r>
            <w:r>
              <w:rPr>
                <w:sz w:val="16"/>
              </w:rPr>
              <w:t>ues are presented as mean +/- SEM; ROC cut-off for follicular-</w:t>
            </w:r>
            <w:r>
              <w:rPr>
                <w:sz w:val="16"/>
              </w:rPr>
              <w:lastRenderedPageBreak/>
              <w:t>fluid AREG is described.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lastRenderedPageBreak/>
              <w:t>Statistical methods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12(a)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Describe all statistical methods, including those used to control for confounding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3 - Statistical methods include ROC curve</w:t>
            </w:r>
            <w:r>
              <w:rPr>
                <w:sz w:val="16"/>
              </w:rPr>
              <w:t>, sensitivity/specificity-based cut-off selection, two-tailed unpaired Student’s t-test, one-way ANOVA, SPSS 16.0, and p &lt; 0.05 threshold. Confounder-adjusted methods are 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Statistical methods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12(b)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Describe any methods used to examine subgrou</w:t>
            </w:r>
            <w:r>
              <w:rPr>
                <w:sz w:val="16"/>
              </w:rPr>
              <w:t>ps and interactions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2-4, 6-7 - Subgroups are PCOS phenotypes A, B, C, and D; analyses compare EGF/AREG and IVF outcomes by subtype. Formal interaction tests are 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Statistical methods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12(c)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Explain how missing data were addr</w:t>
            </w:r>
            <w:r>
              <w:rPr>
                <w:sz w:val="16"/>
              </w:rPr>
              <w:t>essed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Statistical methods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12(d)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If applicable, explain how matching of cases and controls was addressed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2 - Controls are described as age-matched, but no statistical method for matched analysis is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Statistical methods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12(e)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Describe any sensitivity analyses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Results</w:t>
            </w:r>
          </w:p>
        </w:tc>
        <w:tc>
          <w:tcPr>
            <w:tcW w:w="9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Results</w:t>
            </w:r>
          </w:p>
        </w:tc>
        <w:tc>
          <w:tcPr>
            <w:tcW w:w="65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Results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Participants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13(a)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 xml:space="preserve">Report numbers of individuals at each stage of study - e.g., numbers potentially eligible, examined for eligibility, </w:t>
            </w:r>
            <w:r>
              <w:rPr>
                <w:sz w:val="16"/>
              </w:rPr>
              <w:t>confirmed eligible, included in the study, completing follow-up, and analysed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1-4 - Included/analyzed numbers are reported: 94 PCOS and 81 controls; serum subset 58 PCOS/32 controls; PCR subset 22 PCOS/28 controls; subtype counts report</w:t>
            </w:r>
            <w:r>
              <w:rPr>
                <w:sz w:val="16"/>
              </w:rPr>
              <w:t>ed. Numbers at earlier eligibility/non-participation stages are 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Participants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13(b)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Give reasons for non-participation at each stage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Participants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13(c)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Consider use of a flow diagram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t>included.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Descriptive data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14(a)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Give characteristics of study participants (e.g., demographic, clinical, social) and information on exposures and potential confounders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3-4 - Participant characteristics summarized in Results 3.1 and Ta</w:t>
            </w:r>
            <w:r>
              <w:rPr>
                <w:sz w:val="16"/>
              </w:rPr>
              <w:t>ble 1: age, infertility duration, pregnancy history, BMI, basal FSH/LH, LH/FSH, and antral follicle count by group.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Descriptive data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14(b)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Indicate number of participants with missing data for each variable of interest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Outco</w:t>
            </w:r>
            <w:r>
              <w:rPr>
                <w:sz w:val="16"/>
              </w:rPr>
              <w:t>me data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15*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Report numbers in each exposure category, or summary measures of exposure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3-7 - Summary measures are reported for EGF/AREG levels, IVF parameters (Table 2), pregnancy/live birth trends (Fig. 3), and EGFR expression (Fig. 4),</w:t>
            </w:r>
            <w:r>
              <w:rPr>
                <w:sz w:val="16"/>
              </w:rPr>
              <w:t xml:space="preserve"> including group/subtype sample sizes in figures/tables.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Main results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16(a)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 xml:space="preserve">Give unadjusted estimates and, if applicable, confounder-adjusted estimates and their precision (e.g., 95% CI). Make clear which confounders were adjusted for and why they were </w:t>
            </w:r>
            <w:r>
              <w:rPr>
                <w:sz w:val="16"/>
              </w:rPr>
              <w:t>included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3-7 - Unadjusted comparisons are presented with p-values and mean +/- SEM; ROC AUC, sensitivity, specificity, and AREG cut-off are reported. 95% CIs and confounder-adjusted estimates are 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Main results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16(b)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Report</w:t>
            </w:r>
            <w:r>
              <w:rPr>
                <w:sz w:val="16"/>
              </w:rPr>
              <w:t xml:space="preserve"> category boundaries when continuous variables were categorized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3-4 - ROC-derived follicular-fluid AREG cut-off is reported as 96.61 ng/mL. PCOS phenotype categories are defined on p. 2.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Main results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16(c)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If relevant, consider transla</w:t>
            </w:r>
            <w:r>
              <w:rPr>
                <w:sz w:val="16"/>
              </w:rPr>
              <w:t>ting estimates of relative risk into absolute risk for a meaningful time period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pp. 3, 7 - Absolute pregnancy and live-birth rates are reported graphically/textually (e.g., PCOS subtype A pregnancy rate 33.3% vs control 54.7%). Relative </w:t>
            </w:r>
            <w:r>
              <w:rPr>
                <w:sz w:val="16"/>
              </w:rPr>
              <w:t>risks are not calculated.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Other analyses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17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Report other analyses done - e.g., analyses of subgroups and interactions, and sensitivity analyses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pp. 3-7 - Subtype analyses of serum/follicular-fluid EGF and AREG, IVF outcomes in subtype A, R</w:t>
            </w:r>
            <w:r>
              <w:rPr>
                <w:sz w:val="16"/>
              </w:rPr>
              <w:t>OC analysis for AREG, and EGFR expression by overall PCOS/subtype are reported. Sensitivity analyses are not reported.</w:t>
            </w:r>
          </w:p>
        </w:tc>
      </w:tr>
      <w:tr w:rsidR="000F14FF">
        <w:trPr>
          <w:jc w:val="center"/>
        </w:trPr>
        <w:tc>
          <w:tcPr>
            <w:tcW w:w="20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Discussion</w:t>
            </w:r>
          </w:p>
        </w:tc>
        <w:tc>
          <w:tcPr>
            <w:tcW w:w="9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Discussion</w:t>
            </w:r>
          </w:p>
        </w:tc>
        <w:tc>
          <w:tcPr>
            <w:tcW w:w="65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Discussion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Key results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18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Summarise key results with reference to study objectives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pp. 4-8 - </w:t>
            </w:r>
            <w:r>
              <w:rPr>
                <w:sz w:val="16"/>
              </w:rPr>
              <w:t>Discussion and Conclusions summarize altered EGF/AREG/EGFR expression, lower follicular-fluid AREG in PCOS subtype A, and a possible relationship with reduced IVF outcomes.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lastRenderedPageBreak/>
              <w:t>Limitations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19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Discuss limitations of the study, taking into account sources of po</w:t>
            </w:r>
            <w:r>
              <w:rPr>
                <w:sz w:val="16"/>
              </w:rPr>
              <w:t>tential bias or imprecision. Discuss both direction and magnitude of any potential bias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8 - Limitations include small sample size/statistical bias and power, no multiple logistic regression for AREG-IVF correlation, and IVF/superovulatio</w:t>
            </w:r>
            <w:r>
              <w:rPr>
                <w:sz w:val="16"/>
              </w:rPr>
              <w:t>n setting rather than natural cycles.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Interpretation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20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Give a cautious overall interpretation of results considering objectives, limitations, multiplicity of analyses, results from similar studies, and other relevant evidence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 xml:space="preserve">pp. 4-8 - </w:t>
            </w:r>
            <w:r>
              <w:rPr>
                <w:sz w:val="16"/>
              </w:rPr>
              <w:t>Discussion interprets findings against prior studies, explains heterogeneity by PCOS subtype, and repeatedly notes that larger studies are needed for validation.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Generalisability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21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Discuss the generalisability (external validity) of the study results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>Loc</w:t>
            </w:r>
            <w:r>
              <w:rPr>
                <w:b/>
                <w:sz w:val="16"/>
              </w:rPr>
              <w:t xml:space="preserve">ation/notes: </w:t>
            </w:r>
            <w:r>
              <w:rPr>
                <w:sz w:val="16"/>
              </w:rPr>
              <w:t>p. 8 - Generalizability is addressed in limitations: small sample size limits generalizability, and findings may differ in natural ovulation cycles versus IVF/superovulation cycles.</w:t>
            </w:r>
          </w:p>
        </w:tc>
      </w:tr>
      <w:tr w:rsidR="000F14FF">
        <w:trPr>
          <w:jc w:val="center"/>
        </w:trPr>
        <w:tc>
          <w:tcPr>
            <w:tcW w:w="20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Other information</w:t>
            </w:r>
          </w:p>
        </w:tc>
        <w:tc>
          <w:tcPr>
            <w:tcW w:w="9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Other information</w:t>
            </w:r>
          </w:p>
        </w:tc>
        <w:tc>
          <w:tcPr>
            <w:tcW w:w="6500" w:type="dxa"/>
            <w:shd w:val="clear" w:color="auto" w:fill="EDEDE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F14FF" w:rsidRDefault="004827FB">
            <w:pPr>
              <w:jc w:val="center"/>
            </w:pPr>
            <w:r>
              <w:rPr>
                <w:b/>
              </w:rPr>
              <w:t>Other information</w:t>
            </w:r>
          </w:p>
        </w:tc>
      </w:tr>
      <w:tr w:rsidR="000F14FF">
        <w:trPr>
          <w:jc w:val="center"/>
        </w:trPr>
        <w:tc>
          <w:tcPr>
            <w:tcW w:w="20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Funding</w:t>
            </w:r>
          </w:p>
        </w:tc>
        <w:tc>
          <w:tcPr>
            <w:tcW w:w="9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pPr>
              <w:jc w:val="center"/>
            </w:pPr>
            <w:r>
              <w:rPr>
                <w:sz w:val="16"/>
              </w:rPr>
              <w:t>22</w:t>
            </w:r>
          </w:p>
        </w:tc>
        <w:tc>
          <w:tcPr>
            <w:tcW w:w="6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14FF" w:rsidRDefault="004827FB">
            <w:r>
              <w:rPr>
                <w:sz w:val="16"/>
              </w:rPr>
              <w:t>Give the source of funding and the role of the funders for the present study and, if applicable, for the original study on which the present article is based</w:t>
            </w:r>
          </w:p>
          <w:p w:rsidR="000F14FF" w:rsidRDefault="004827FB">
            <w:pPr>
              <w:spacing w:before="40"/>
            </w:pPr>
            <w:r>
              <w:rPr>
                <w:b/>
                <w:sz w:val="16"/>
              </w:rPr>
              <w:t xml:space="preserve">Location/notes: </w:t>
            </w:r>
            <w:r>
              <w:rPr>
                <w:sz w:val="16"/>
              </w:rPr>
              <w:t>p. 9 - Funding source: Beijing Natural Science Foundation, grant number</w:t>
            </w:r>
            <w:r>
              <w:rPr>
                <w:sz w:val="16"/>
              </w:rPr>
              <w:t xml:space="preserve"> 7244436. The role of the funders is not stated.</w:t>
            </w:r>
          </w:p>
        </w:tc>
      </w:tr>
    </w:tbl>
    <w:p w:rsidR="000F14FF" w:rsidRDefault="004827FB">
      <w:pPr>
        <w:spacing w:before="120"/>
      </w:pPr>
      <w:r>
        <w:rPr>
          <w:sz w:val="16"/>
        </w:rPr>
        <w:t>* Give information separately for cases and controls.</w:t>
      </w:r>
    </w:p>
    <w:p w:rsidR="000F14FF" w:rsidRDefault="004827FB">
      <w:r>
        <w:rPr>
          <w:sz w:val="16"/>
        </w:rPr>
        <w:t>STROBE checklist is best used with the STROBE Explanation and Elaboration article. Information on the STROBE Initiative is available at www.strobe-state</w:t>
      </w:r>
      <w:r>
        <w:rPr>
          <w:sz w:val="16"/>
        </w:rPr>
        <w:t>ment.org.</w:t>
      </w:r>
    </w:p>
    <w:sectPr w:rsidR="000F14FF" w:rsidSect="00034616">
      <w:pgSz w:w="11906" w:h="16838"/>
      <w:pgMar w:top="737" w:right="680" w:bottom="73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14FF"/>
    <w:rsid w:val="0015074B"/>
    <w:rsid w:val="0029639D"/>
    <w:rsid w:val="00326F90"/>
    <w:rsid w:val="004827F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B9BC7C"/>
  <w14:defaultImageDpi w14:val="300"/>
  <w15:docId w15:val="{12460969-660E-4F42-B428-B8983260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Arial" w:eastAsia="Arial" w:hAnsi="Arial"/>
      <w:sz w:val="17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8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343B77-2BCE-4854-8BD6-F2C3FFF3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Lucky</cp:lastModifiedBy>
  <cp:revision>2</cp:revision>
  <dcterms:created xsi:type="dcterms:W3CDTF">2013-12-23T23:15:00Z</dcterms:created>
  <dcterms:modified xsi:type="dcterms:W3CDTF">2026-06-25T07:28:00Z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522e2a55-63de-42a0-aa10-9b35e3201575</vt:lpwstr>
  </property>
</Properties>
</file>